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Агент по организации обслуживания почтово-грузовых авиаперевозок» (</w:t>
      </w:r>
      <w:r>
        <w:rPr>
          <w:b w:val="1"/>
          <w:bCs w:val="1"/>
          <w:sz w:val="24"/>
          <w:szCs w:val="24"/>
          <w:lang w:val="en-US" w:bidi="en-US" w:eastAsia="en-US"/>
        </w:rPr>
        <w:t>180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