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Государственное и муниципальное управление» (</w:t>
      </w:r>
      <w:r>
        <w:rPr>
          <w:b w:val="1"/>
          <w:bCs w:val="1"/>
          <w:sz w:val="24"/>
          <w:szCs w:val="24"/>
          <w:lang w:val="en-US" w:bidi="en-US" w:eastAsia="en-US"/>
        </w:rPr>
        <w:t>504 часа)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